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8" w:rsidRDefault="00F63344" w:rsidP="00334318">
      <w:pPr>
        <w:spacing w:after="0"/>
        <w:ind w:left="720" w:right="720"/>
        <w:jc w:val="right"/>
        <w:rPr>
          <w:rFonts w:ascii="Arial" w:hAnsi="Arial" w:cs="Arial"/>
          <w:b/>
          <w:noProof/>
          <w:sz w:val="28"/>
          <w:szCs w:val="28"/>
          <w:lang w:eastAsia="zh-TW"/>
        </w:rPr>
      </w:pPr>
      <w:r>
        <w:rPr>
          <w:rFonts w:ascii="Arial" w:hAnsi="Arial" w:cs="Arial"/>
          <w:b/>
          <w:noProof/>
          <w:sz w:val="28"/>
          <w:szCs w:val="28"/>
          <w:lang w:eastAsia="zh-CN" w:bidi="he-IL"/>
        </w:rPr>
        <w:drawing>
          <wp:inline distT="0" distB="0" distL="0" distR="0">
            <wp:extent cx="1133475" cy="581025"/>
            <wp:effectExtent l="19050" t="0" r="9525" b="0"/>
            <wp:docPr id="1" name="Picture 1" descr=":lib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iblogo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18" w:rsidRDefault="00334318" w:rsidP="00334318">
      <w:pPr>
        <w:spacing w:after="0"/>
        <w:ind w:left="720" w:right="720"/>
        <w:rPr>
          <w:b/>
          <w:szCs w:val="24"/>
        </w:rPr>
      </w:pPr>
    </w:p>
    <w:p w:rsidR="00334318" w:rsidRDefault="00334318" w:rsidP="00334318">
      <w:pPr>
        <w:spacing w:after="0"/>
        <w:ind w:left="720" w:right="720"/>
        <w:jc w:val="center"/>
        <w:rPr>
          <w:rFonts w:ascii="Arial" w:hAnsi="Arial" w:cs="Arial"/>
          <w:b/>
          <w:sz w:val="28"/>
          <w:szCs w:val="28"/>
        </w:rPr>
      </w:pPr>
      <w:r w:rsidRPr="00A51657">
        <w:rPr>
          <w:rFonts w:ascii="Arial" w:hAnsi="Arial" w:cs="Arial"/>
          <w:b/>
          <w:sz w:val="28"/>
          <w:szCs w:val="28"/>
        </w:rPr>
        <w:t>Plagiarism</w:t>
      </w:r>
      <w:r w:rsidR="008D5A1D">
        <w:rPr>
          <w:rFonts w:ascii="Arial" w:hAnsi="Arial" w:cs="Arial"/>
          <w:b/>
          <w:sz w:val="28"/>
          <w:szCs w:val="28"/>
        </w:rPr>
        <w:t>-instructor version</w:t>
      </w: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b/>
          <w:sz w:val="28"/>
          <w:szCs w:val="28"/>
        </w:rPr>
      </w:pP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The quotation below is from an article by Joanna M. Burkhardt.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 Read the original quotation.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Selections 1-5 are ways in which someone might use this information in a term paper.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Which of these constitute plagiarism and which are acceptable?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Compare the examples that follow and decide whether they are or not examples of plagiarism.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Be ready to explain your answer. Original quotation: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b/>
          <w:i/>
          <w:szCs w:val="24"/>
        </w:rPr>
      </w:pPr>
      <w:r w:rsidRPr="00A51657">
        <w:rPr>
          <w:rFonts w:ascii="Arial" w:hAnsi="Arial" w:cs="Arial"/>
          <w:b/>
          <w:i/>
          <w:szCs w:val="24"/>
        </w:rPr>
        <w:t xml:space="preserve">Library literature offers wide-spectrum coverage on planning and moving libraries. </w:t>
      </w:r>
      <w:r>
        <w:rPr>
          <w:rFonts w:ascii="Arial" w:hAnsi="Arial" w:cs="Arial"/>
          <w:b/>
          <w:i/>
          <w:szCs w:val="24"/>
        </w:rPr>
        <w:t xml:space="preserve"> </w:t>
      </w:r>
      <w:r w:rsidRPr="00A51657">
        <w:rPr>
          <w:rFonts w:ascii="Arial" w:hAnsi="Arial" w:cs="Arial"/>
          <w:b/>
          <w:i/>
          <w:szCs w:val="24"/>
        </w:rPr>
        <w:t xml:space="preserve">Authors offer visions of what might be, practical implementation suggestions, or explicit instructions for specific situations. </w:t>
      </w:r>
      <w:r>
        <w:rPr>
          <w:rFonts w:ascii="Arial" w:hAnsi="Arial" w:cs="Arial"/>
          <w:b/>
          <w:i/>
          <w:szCs w:val="24"/>
        </w:rPr>
        <w:t xml:space="preserve"> </w:t>
      </w:r>
      <w:r w:rsidRPr="00A51657">
        <w:rPr>
          <w:rFonts w:ascii="Arial" w:hAnsi="Arial" w:cs="Arial"/>
          <w:b/>
          <w:i/>
          <w:szCs w:val="24"/>
        </w:rPr>
        <w:t xml:space="preserve">Every move is different and offers its own set of challenges. </w:t>
      </w:r>
      <w:r>
        <w:rPr>
          <w:rFonts w:ascii="Arial" w:hAnsi="Arial" w:cs="Arial"/>
          <w:b/>
          <w:i/>
          <w:szCs w:val="24"/>
        </w:rPr>
        <w:t xml:space="preserve"> </w:t>
      </w:r>
      <w:r w:rsidRPr="00A51657">
        <w:rPr>
          <w:rFonts w:ascii="Arial" w:hAnsi="Arial" w:cs="Arial"/>
          <w:b/>
          <w:i/>
          <w:szCs w:val="24"/>
        </w:rPr>
        <w:t>Planning and moving into a new library can be a nightmare with long-range challenges, or a sweet dream of perfect coordination and timing.*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i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1</w:t>
      </w:r>
    </w:p>
    <w:p w:rsidR="00334318" w:rsidRPr="00A51657" w:rsidRDefault="00334318" w:rsidP="00C20537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Library literature offers wide-spectrum coverage on planning and moving libraries. Authors offer visions of what might be, practical implementation suggestions, or explicit instructions for specific situations.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Every move is different and offers its own set of challenges.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into a new library can be a nightmare with long-range challenges, or a sweet dream of perfect coordination and timing</w:t>
      </w:r>
      <w:r w:rsidR="00C20537">
        <w:rPr>
          <w:rFonts w:ascii="Arial" w:hAnsi="Arial" w:cs="Arial"/>
          <w:szCs w:val="24"/>
        </w:rPr>
        <w:t xml:space="preserve">     </w:t>
      </w:r>
    </w:p>
    <w:p w:rsidR="00C20537" w:rsidRPr="00C20537" w:rsidRDefault="00C20537" w:rsidP="00C20537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*</w:t>
      </w:r>
      <w:r>
        <w:rPr>
          <w:rFonts w:ascii="Arial" w:hAnsi="Arial" w:cs="Arial"/>
          <w:b/>
          <w:bCs/>
          <w:szCs w:val="24"/>
        </w:rPr>
        <w:t>Not cited at all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2</w:t>
      </w:r>
    </w:p>
    <w:p w:rsidR="00334318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Library literature offers wide-spectrum coverage on planning and moving libraries. Authors offer visions of what might be, practical implementation suggestions, or explicit instructions for specific situations.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Every move is different and offers its own set of challenges.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into a new library can be a nightmare with long-range challenges, or a sweet dream of perfect coordination and timing. (Burkhardt, 1998)</w:t>
      </w:r>
    </w:p>
    <w:p w:rsidR="00334318" w:rsidRPr="00C20537" w:rsidRDefault="00C20537" w:rsidP="00334318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*No quotation marks for direct quotation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3</w:t>
      </w:r>
    </w:p>
    <w:p w:rsidR="00334318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“Library literature offers wide-spectrum coverage on planning and moving libraries. Authors offer visions of what might be, practical implementation suggestions, or explicit instructions for specific situations.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Every move is different and offers its own set of challenges.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into a new library can be a nightmare with long-range challenges, or a sweet dream of perfect coordination and timing.” (Burkhardt, 1998)</w:t>
      </w:r>
    </w:p>
    <w:p w:rsidR="00334318" w:rsidRPr="00C20537" w:rsidRDefault="00C20537" w:rsidP="00334318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 w:rsidRPr="00C20537">
        <w:rPr>
          <w:rFonts w:ascii="Arial" w:hAnsi="Arial" w:cs="Arial"/>
          <w:b/>
          <w:bCs/>
          <w:szCs w:val="24"/>
        </w:rPr>
        <w:t>*OK as is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lastRenderedPageBreak/>
        <w:t>SELECTION 4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Library literature offers much information on planning and moving libraries.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Authors offer their thoughts on what might be, practical implementation suggestions, or explicit instructions for specific situations.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Every move is different and offers its own set of challenges.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into a new library can be a nightmare or a sweet dream of perfect coordination and timing. (Burkhardt, 1998)</w:t>
      </w:r>
    </w:p>
    <w:p w:rsidR="00334318" w:rsidRPr="00C20537" w:rsidRDefault="00C20537" w:rsidP="00C20537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 w:rsidRPr="00C20537">
        <w:rPr>
          <w:rFonts w:ascii="Arial" w:hAnsi="Arial" w:cs="Arial"/>
          <w:b/>
          <w:bCs/>
          <w:szCs w:val="24"/>
        </w:rPr>
        <w:t>*Too close to original without using quotation marks.  Mix of paraphrase &amp; quotes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5</w:t>
      </w:r>
    </w:p>
    <w:p w:rsidR="00334318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“Library literature offers much information on planning and moving libraries.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Authors offer their thoughts on what might be, practical implementation suggestions, or explicit instructions for specific situations.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Every move is different and offers its own set of challenges.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into a new library can be a nightmare or a sweet dream of perfect coordination and timing.” (Burkhardt, 1998)</w:t>
      </w:r>
    </w:p>
    <w:p w:rsidR="00334318" w:rsidRPr="00C20537" w:rsidRDefault="00C20537" w:rsidP="00334318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*Not exact quotation – a few words changed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6</w:t>
      </w:r>
    </w:p>
    <w:p w:rsidR="00334318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In the literature about libraries there are plenty of articles on planning and moving libraries.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Writers of these articles offer futuristic, practical, or explicit instructions for moving libraries.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Planning and moving a library can be a nightmare or a good dream. (Burkhardt, 1998)</w:t>
      </w:r>
    </w:p>
    <w:p w:rsidR="00334318" w:rsidRPr="00C20537" w:rsidRDefault="00C20537" w:rsidP="00334318">
      <w:pPr>
        <w:spacing w:after="0"/>
        <w:ind w:left="720" w:righ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*Borderline – last sentence is very close to original.  Find another analogy </w:t>
      </w:r>
    </w:p>
    <w:p w:rsidR="00334318" w:rsidRPr="00A51657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ind w:left="720" w:right="720"/>
        <w:jc w:val="center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SELECTION 7</w:t>
      </w:r>
    </w:p>
    <w:p w:rsidR="00334318" w:rsidRDefault="00334318" w:rsidP="00334318">
      <w:pPr>
        <w:spacing w:after="0"/>
        <w:ind w:left="720" w:right="72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 xml:space="preserve">Moving into a new library takes much planning and forethought.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The literature is full of articles of practical and theoretical advice regarding this topic.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 xml:space="preserve">Each situation is different and must be handled according to the specifics of the location. </w:t>
      </w:r>
      <w:r>
        <w:rPr>
          <w:rFonts w:ascii="Arial" w:hAnsi="Arial" w:cs="Arial"/>
          <w:szCs w:val="24"/>
        </w:rPr>
        <w:t xml:space="preserve"> </w:t>
      </w:r>
      <w:r w:rsidRPr="00A51657">
        <w:rPr>
          <w:rFonts w:ascii="Arial" w:hAnsi="Arial" w:cs="Arial"/>
          <w:szCs w:val="24"/>
        </w:rPr>
        <w:t>Creating a new library may be very easy or very hard. (Burkhardt, 1998)</w:t>
      </w:r>
    </w:p>
    <w:p w:rsidR="00334318" w:rsidRPr="00C20537" w:rsidRDefault="00C20537" w:rsidP="00334318">
      <w:pPr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*Very good paraphrase</w:t>
      </w:r>
    </w:p>
    <w:p w:rsidR="00334318" w:rsidRPr="00A51657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Default="00334318" w:rsidP="00334318">
      <w:pPr>
        <w:spacing w:after="0"/>
        <w:rPr>
          <w:rFonts w:ascii="Arial" w:hAnsi="Arial" w:cs="Arial"/>
          <w:szCs w:val="24"/>
        </w:rPr>
      </w:pPr>
    </w:p>
    <w:p w:rsidR="00334318" w:rsidRPr="00A51657" w:rsidRDefault="00334318" w:rsidP="00334318">
      <w:pPr>
        <w:spacing w:after="0"/>
        <w:rPr>
          <w:rFonts w:ascii="Arial" w:hAnsi="Arial" w:cs="Arial"/>
          <w:szCs w:val="24"/>
        </w:rPr>
      </w:pPr>
      <w:r w:rsidRPr="00A51657">
        <w:rPr>
          <w:rFonts w:ascii="Arial" w:hAnsi="Arial" w:cs="Arial"/>
          <w:szCs w:val="24"/>
        </w:rPr>
        <w:t>------------------------</w:t>
      </w:r>
    </w:p>
    <w:p w:rsidR="00334318" w:rsidRPr="00A7389E" w:rsidRDefault="00334318" w:rsidP="0033431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Pr="00A51657">
        <w:rPr>
          <w:rFonts w:ascii="Arial" w:hAnsi="Arial" w:cs="Arial"/>
          <w:szCs w:val="24"/>
        </w:rPr>
        <w:t xml:space="preserve">Joanna M. Burkhardt, “Do’s and don’ts for moving a small academic library, </w:t>
      </w:r>
      <w:r w:rsidRPr="00A51657">
        <w:rPr>
          <w:rFonts w:ascii="Arial" w:hAnsi="Arial" w:cs="Arial"/>
          <w:i/>
          <w:szCs w:val="24"/>
        </w:rPr>
        <w:t xml:space="preserve">College and Research Libraries news </w:t>
      </w:r>
      <w:r w:rsidRPr="00A51657">
        <w:rPr>
          <w:rFonts w:ascii="Arial" w:hAnsi="Arial" w:cs="Arial"/>
          <w:szCs w:val="24"/>
        </w:rPr>
        <w:t>59, no. 7 (July/August 1998): 449.</w:t>
      </w:r>
    </w:p>
    <w:sectPr w:rsidR="00334318" w:rsidRPr="00A7389E" w:rsidSect="003343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43" w:rsidRDefault="00321E43" w:rsidP="00334318">
      <w:pPr>
        <w:spacing w:after="0" w:line="240" w:lineRule="auto"/>
      </w:pPr>
      <w:r>
        <w:separator/>
      </w:r>
    </w:p>
  </w:endnote>
  <w:endnote w:type="continuationSeparator" w:id="0">
    <w:p w:rsidR="00321E43" w:rsidRDefault="00321E43" w:rsidP="0033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18" w:rsidRPr="00BC14B4" w:rsidRDefault="00334318">
    <w:pPr>
      <w:pStyle w:val="Footer"/>
      <w:rPr>
        <w:rFonts w:ascii="Arial" w:hAnsi="Arial" w:cs="Arial"/>
        <w:sz w:val="20"/>
        <w:szCs w:val="20"/>
      </w:rPr>
    </w:pPr>
    <w:r w:rsidRPr="00BC14B4">
      <w:rPr>
        <w:rFonts w:ascii="Arial" w:hAnsi="Arial" w:cs="Arial"/>
        <w:color w:val="808080"/>
        <w:sz w:val="20"/>
        <w:szCs w:val="20"/>
      </w:rPr>
      <w:t xml:space="preserve">Source: </w:t>
    </w:r>
    <w:r w:rsidRPr="00BC14B4">
      <w:rPr>
        <w:rFonts w:ascii="Arial" w:hAnsi="Arial" w:cs="Arial"/>
        <w:i/>
        <w:color w:val="808080"/>
        <w:sz w:val="20"/>
        <w:szCs w:val="20"/>
      </w:rPr>
      <w:t xml:space="preserve">Teaching Information Literacy </w:t>
    </w:r>
    <w:r w:rsidRPr="00BC14B4">
      <w:rPr>
        <w:rFonts w:ascii="Arial" w:hAnsi="Arial" w:cs="Arial"/>
        <w:color w:val="808080"/>
        <w:sz w:val="20"/>
        <w:szCs w:val="20"/>
      </w:rPr>
      <w:t>by J.M. Burkhardt, M.C.  MacDonald and A. J. Rathemacher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43" w:rsidRDefault="00321E43" w:rsidP="00334318">
      <w:pPr>
        <w:spacing w:after="0" w:line="240" w:lineRule="auto"/>
      </w:pPr>
      <w:r>
        <w:separator/>
      </w:r>
    </w:p>
  </w:footnote>
  <w:footnote w:type="continuationSeparator" w:id="0">
    <w:p w:rsidR="00321E43" w:rsidRDefault="00321E43" w:rsidP="0033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18" w:rsidRDefault="00334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415" o:spid="_x0000_s2050" type="#_x0000_t75" style="position:absolute;margin-left:0;margin-top:0;width:540pt;height:540pt;z-index:-251658752;mso-position-horizontal:center;mso-position-horizontal-relative:margin;mso-position-vertical:center;mso-position-vertical-relative:margin" o:allowincell="f">
          <v:imagedata r:id="rId1" o:title="Plagiaris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18" w:rsidRDefault="00334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416" o:spid="_x0000_s2051" type="#_x0000_t75" style="position:absolute;margin-left:0;margin-top:0;width:540pt;height:540pt;z-index:-251657728;mso-position-horizontal:center;mso-position-horizontal-relative:margin;mso-position-vertical:center;mso-position-vertical-relative:margin" o:allowincell="f">
          <v:imagedata r:id="rId1" o:title="Plagiaris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18" w:rsidRDefault="003343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7414" o:spid="_x0000_s2049" type="#_x0000_t75" style="position:absolute;margin-left:0;margin-top:0;width:540pt;height:540pt;z-index:-251659776;mso-position-horizontal:center;mso-position-horizontal-relative:margin;mso-position-vertical:center;mso-position-vertical-relative:margin" o:allowincell="f">
          <v:imagedata r:id="rId1" o:title="Plagiaris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0499"/>
    <w:multiLevelType w:val="hybridMultilevel"/>
    <w:tmpl w:val="3C96AB66"/>
    <w:lvl w:ilvl="0" w:tplc="840430F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CC3"/>
    <w:rsid w:val="00321E43"/>
    <w:rsid w:val="00334318"/>
    <w:rsid w:val="00867C89"/>
    <w:rsid w:val="008D5A1D"/>
    <w:rsid w:val="00C20537"/>
    <w:rsid w:val="00C50EC2"/>
    <w:rsid w:val="00F63344"/>
    <w:rsid w:val="00FB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C3"/>
    <w:pPr>
      <w:spacing w:after="200" w:line="276" w:lineRule="auto"/>
    </w:pPr>
    <w:rPr>
      <w:sz w:val="24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E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EED"/>
    <w:rPr>
      <w:rFonts w:ascii="Calibri" w:eastAsia="Calibri" w:hAnsi="Calibri" w:cs="Times New Roman"/>
    </w:rPr>
  </w:style>
  <w:style w:type="paragraph" w:styleId="ColorfulList-Accent1">
    <w:name w:val="Colorful List Accent 1"/>
    <w:basedOn w:val="Normal"/>
    <w:uiPriority w:val="34"/>
    <w:qFormat/>
    <w:rsid w:val="00E2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gduque</dc:creator>
  <cp:keywords/>
  <cp:lastModifiedBy>jooehrli</cp:lastModifiedBy>
  <cp:revision>2</cp:revision>
  <cp:lastPrinted>2010-02-04T18:23:00Z</cp:lastPrinted>
  <dcterms:created xsi:type="dcterms:W3CDTF">2011-01-21T16:15:00Z</dcterms:created>
  <dcterms:modified xsi:type="dcterms:W3CDTF">2011-01-21T16:15:00Z</dcterms:modified>
</cp:coreProperties>
</file>